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815114" w:rsidRPr="00B52CAC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03.02.2026г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7345E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B51ADF" w:rsidRPr="00B51ADF">
        <w:rPr>
          <w:rFonts w:ascii="Times New Roman" w:hAnsi="Times New Roman"/>
          <w:b/>
          <w:i/>
          <w:sz w:val="28"/>
          <w:szCs w:val="28"/>
        </w:rPr>
        <w:t>Информационное обеспечение и организация бюджетного процесса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B51ADF" w:rsidRPr="00B51ADF" w:rsidTr="00216607">
        <w:trPr>
          <w:trHeight w:val="2024"/>
          <w:jc w:val="center"/>
        </w:trPr>
        <w:tc>
          <w:tcPr>
            <w:tcW w:w="567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B51ADF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B51ADF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B51ADF" w:rsidRPr="00B51ADF" w:rsidTr="00216607">
        <w:trPr>
          <w:jc w:val="center"/>
        </w:trPr>
        <w:tc>
          <w:tcPr>
            <w:tcW w:w="567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B51ADF" w:rsidRPr="00B51ADF" w:rsidTr="00216607">
        <w:trPr>
          <w:jc w:val="center"/>
        </w:trPr>
        <w:tc>
          <w:tcPr>
            <w:tcW w:w="15912" w:type="dxa"/>
            <w:gridSpan w:val="14"/>
          </w:tcPr>
          <w:p w:rsidR="00B51ADF" w:rsidRPr="00B51ADF" w:rsidRDefault="00B51ADF" w:rsidP="00B51ADF">
            <w:pPr>
              <w:spacing w:after="0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1. Задача комплекса процессных мероприятий «Обеспечено повышение качества управления бюджетным процессом»</w:t>
            </w:r>
          </w:p>
        </w:tc>
      </w:tr>
      <w:tr w:rsidR="00B51ADF" w:rsidRPr="00B51ADF" w:rsidTr="00216607">
        <w:trPr>
          <w:trHeight w:val="268"/>
          <w:jc w:val="center"/>
        </w:trPr>
        <w:tc>
          <w:tcPr>
            <w:tcW w:w="567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Уровень исполнения расходных обязательств местного бюджета</w:t>
            </w:r>
          </w:p>
        </w:tc>
        <w:tc>
          <w:tcPr>
            <w:tcW w:w="1204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48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95,0</w:t>
            </w:r>
          </w:p>
        </w:tc>
        <w:tc>
          <w:tcPr>
            <w:tcW w:w="1303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97,3</w:t>
            </w:r>
          </w:p>
        </w:tc>
        <w:tc>
          <w:tcPr>
            <w:tcW w:w="1341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216607">
        <w:trPr>
          <w:trHeight w:val="268"/>
          <w:jc w:val="center"/>
        </w:trPr>
        <w:tc>
          <w:tcPr>
            <w:tcW w:w="15912" w:type="dxa"/>
            <w:gridSpan w:val="14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2. Задача комплекса процессных мероприятий «Обеспечено достижение и поддержание эффективной автоматизации процессов планирования и исполнения местного бюджета Вербовологовского сельского поселения за счет использования современных информационных технологий, единого информационного пространства и унифицированного программного обеспечения участниками бюджетного процесса, муниципальным бюджетным учреждением Вербовологовского сельского поселения»</w:t>
            </w:r>
          </w:p>
        </w:tc>
      </w:tr>
      <w:tr w:rsidR="00B51ADF" w:rsidRPr="00B51ADF" w:rsidTr="00216607">
        <w:trPr>
          <w:trHeight w:val="268"/>
          <w:jc w:val="center"/>
        </w:trPr>
        <w:tc>
          <w:tcPr>
            <w:tcW w:w="567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511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Эффективное использование информационной системы «Единая автоматизированная система управления </w:t>
            </w:r>
            <w:r w:rsidRPr="00B51ADF">
              <w:rPr>
                <w:rFonts w:ascii="Times New Roman" w:hAnsi="Times New Roman"/>
                <w:szCs w:val="22"/>
              </w:rPr>
              <w:lastRenderedPageBreak/>
              <w:t>общественными финансами в Ростовской области» (ЕАС УОФ)</w:t>
            </w:r>
          </w:p>
        </w:tc>
        <w:tc>
          <w:tcPr>
            <w:tcW w:w="1204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lastRenderedPageBreak/>
              <w:t>КПМ</w:t>
            </w:r>
          </w:p>
        </w:tc>
        <w:tc>
          <w:tcPr>
            <w:tcW w:w="1134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48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балл</w:t>
            </w:r>
          </w:p>
        </w:tc>
        <w:tc>
          <w:tcPr>
            <w:tcW w:w="1199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303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341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216607">
        <w:trPr>
          <w:trHeight w:val="268"/>
          <w:jc w:val="center"/>
        </w:trPr>
        <w:tc>
          <w:tcPr>
            <w:tcW w:w="15912" w:type="dxa"/>
            <w:gridSpan w:val="14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3. Задача комплекса процессных мероприятий «Обеспечено содействие сбалансированности местного бюджета и использование мер стимулирующего характера, направленных на повышение качества управления муниципальными финансами»</w:t>
            </w:r>
          </w:p>
        </w:tc>
      </w:tr>
      <w:tr w:rsidR="00B51ADF" w:rsidRPr="00B51ADF" w:rsidTr="00216607">
        <w:trPr>
          <w:trHeight w:val="268"/>
          <w:jc w:val="center"/>
        </w:trPr>
        <w:tc>
          <w:tcPr>
            <w:tcW w:w="567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3.1</w:t>
            </w:r>
          </w:p>
        </w:tc>
        <w:tc>
          <w:tcPr>
            <w:tcW w:w="1511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Доля просроченной кредиторской задолженности в расходах местного бюджета</w:t>
            </w:r>
          </w:p>
        </w:tc>
        <w:tc>
          <w:tcPr>
            <w:tcW w:w="1204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убывание</w:t>
            </w:r>
          </w:p>
        </w:tc>
        <w:tc>
          <w:tcPr>
            <w:tcW w:w="1148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3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341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0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7345EF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435E6C" w:rsidRDefault="00435E6C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B51ADF" w:rsidRDefault="00B51ADF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B51ADF" w:rsidRDefault="00B51ADF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B51ADF" w:rsidRDefault="00B51ADF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B51ADF" w:rsidRDefault="00B51ADF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B51ADF" w:rsidRDefault="00B51ADF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B51ADF" w:rsidRDefault="00B51ADF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435E6C" w:rsidRDefault="00435E6C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5C5C19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2"/>
        </w:rPr>
        <w:lastRenderedPageBreak/>
        <w:t>2</w:t>
      </w:r>
      <w:r w:rsidR="005C5C19" w:rsidRPr="00AC56B9">
        <w:rPr>
          <w:rFonts w:ascii="Times New Roman" w:hAnsi="Times New Roman"/>
          <w:szCs w:val="22"/>
        </w:rPr>
        <w:t xml:space="preserve">. </w:t>
      </w:r>
      <w:r w:rsidR="005C5C19"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8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5"/>
        <w:gridCol w:w="801"/>
        <w:gridCol w:w="1042"/>
        <w:gridCol w:w="800"/>
        <w:gridCol w:w="933"/>
        <w:gridCol w:w="1067"/>
        <w:gridCol w:w="1002"/>
        <w:gridCol w:w="934"/>
        <w:gridCol w:w="1074"/>
        <w:gridCol w:w="1067"/>
        <w:gridCol w:w="1266"/>
        <w:gridCol w:w="1530"/>
        <w:gridCol w:w="993"/>
        <w:gridCol w:w="619"/>
      </w:tblGrid>
      <w:tr w:rsidR="00B51ADF" w:rsidRPr="00B51ADF" w:rsidTr="00B51ADF">
        <w:trPr>
          <w:trHeight w:val="986"/>
        </w:trPr>
        <w:tc>
          <w:tcPr>
            <w:tcW w:w="710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B51ADF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42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02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74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266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B51ADF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B51ADF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B51ADF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619" w:type="dxa"/>
            <w:vAlign w:val="center"/>
          </w:tcPr>
          <w:p w:rsidR="00B51ADF" w:rsidRPr="00B51ADF" w:rsidRDefault="00B51ADF" w:rsidP="00B51ADF">
            <w:pPr>
              <w:spacing w:after="0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B51ADF" w:rsidRPr="00B51ADF" w:rsidTr="00B51ADF">
        <w:trPr>
          <w:trHeight w:val="181"/>
        </w:trPr>
        <w:tc>
          <w:tcPr>
            <w:tcW w:w="71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85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4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0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074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66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619" w:type="dxa"/>
          </w:tcPr>
          <w:p w:rsidR="00B51ADF" w:rsidRPr="00B51ADF" w:rsidRDefault="00B51ADF" w:rsidP="00B51ADF">
            <w:pPr>
              <w:spacing w:after="0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B51ADF" w:rsidRPr="00B51ADF" w:rsidTr="00B51ADF">
        <w:trPr>
          <w:trHeight w:val="181"/>
        </w:trPr>
        <w:tc>
          <w:tcPr>
            <w:tcW w:w="15823" w:type="dxa"/>
            <w:gridSpan w:val="15"/>
          </w:tcPr>
          <w:p w:rsidR="00B51ADF" w:rsidRPr="00B51ADF" w:rsidRDefault="00B51ADF" w:rsidP="00B51ADF">
            <w:pPr>
              <w:spacing w:after="0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1. Задача комплекса процессных мероприятий «Обеспечено повышение качества управления бюджетным процессом»</w:t>
            </w:r>
          </w:p>
        </w:tc>
      </w:tr>
      <w:tr w:rsidR="00B51ADF" w:rsidRPr="00B51ADF" w:rsidTr="00B51ADF">
        <w:trPr>
          <w:trHeight w:val="181"/>
        </w:trPr>
        <w:tc>
          <w:tcPr>
            <w:tcW w:w="71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985" w:type="dxa"/>
          </w:tcPr>
          <w:p w:rsidR="00B51ADF" w:rsidRPr="00B51ADF" w:rsidRDefault="00B51ADF" w:rsidP="00B51ADF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Мероприятие (результат) 2.1 «Организовано планирование и исполнение расходов местного бюджета»</w:t>
            </w:r>
          </w:p>
        </w:tc>
        <w:tc>
          <w:tcPr>
            <w:tcW w:w="801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единица</w:t>
            </w:r>
          </w:p>
        </w:tc>
        <w:tc>
          <w:tcPr>
            <w:tcW w:w="104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74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6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B51ADF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B51ADF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619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B51ADF">
        <w:trPr>
          <w:trHeight w:val="181"/>
        </w:trPr>
        <w:tc>
          <w:tcPr>
            <w:tcW w:w="710" w:type="dxa"/>
          </w:tcPr>
          <w:p w:rsidR="00B51ADF" w:rsidRPr="00B51ADF" w:rsidRDefault="00B51ADF" w:rsidP="00B51ADF">
            <w:pPr>
              <w:pStyle w:val="Standard"/>
              <w:jc w:val="center"/>
              <w:rPr>
                <w:sz w:val="22"/>
                <w:szCs w:val="22"/>
              </w:rPr>
            </w:pPr>
            <w:r w:rsidRPr="00B51ADF">
              <w:rPr>
                <w:sz w:val="22"/>
                <w:szCs w:val="22"/>
              </w:rPr>
              <w:t>2.1.1</w:t>
            </w:r>
          </w:p>
        </w:tc>
        <w:tc>
          <w:tcPr>
            <w:tcW w:w="1985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Контрольная точка 2.1.1.</w:t>
            </w:r>
          </w:p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Подготовлено постановление Администрации Вербовологовского сельского поселения «Об утверждении Порядка и сроков составле</w:t>
            </w:r>
            <w:r w:rsidRPr="00B51ADF">
              <w:rPr>
                <w:rFonts w:ascii="Times New Roman" w:hAnsi="Times New Roman"/>
                <w:szCs w:val="22"/>
              </w:rPr>
              <w:lastRenderedPageBreak/>
              <w:t xml:space="preserve">ния проекта местного бюджета на очередной финансовый год и на плановые периоды» </w:t>
            </w:r>
          </w:p>
        </w:tc>
        <w:tc>
          <w:tcPr>
            <w:tcW w:w="801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4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74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15 июня 2025 г.</w:t>
            </w:r>
          </w:p>
          <w:p w:rsidR="00B51ADF" w:rsidRPr="00B51ADF" w:rsidRDefault="00B51ADF" w:rsidP="00B51ADF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12 мая 2025 г.</w:t>
            </w:r>
          </w:p>
        </w:tc>
        <w:tc>
          <w:tcPr>
            <w:tcW w:w="1266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B51ADF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B51ADF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619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B51ADF">
        <w:trPr>
          <w:trHeight w:val="181"/>
        </w:trPr>
        <w:tc>
          <w:tcPr>
            <w:tcW w:w="710" w:type="dxa"/>
          </w:tcPr>
          <w:p w:rsidR="00B51ADF" w:rsidRPr="00B51ADF" w:rsidRDefault="00B51ADF" w:rsidP="00B51ADF">
            <w:pPr>
              <w:pStyle w:val="Standard"/>
              <w:jc w:val="center"/>
              <w:rPr>
                <w:sz w:val="22"/>
                <w:szCs w:val="22"/>
              </w:rPr>
            </w:pPr>
            <w:r w:rsidRPr="00B51ADF">
              <w:rPr>
                <w:sz w:val="22"/>
                <w:szCs w:val="22"/>
              </w:rPr>
              <w:t>2.1.2</w:t>
            </w:r>
          </w:p>
        </w:tc>
        <w:tc>
          <w:tcPr>
            <w:tcW w:w="1985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Контрольная точка 2.1.2.</w:t>
            </w:r>
          </w:p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Принято постановление Администрация Вербовологовского сельского поселения «О внесении изменений в постановление Администрации Вербовологовского сельского поселения </w:t>
            </w:r>
            <w:r w:rsidRPr="00B51ADF">
              <w:rPr>
                <w:rFonts w:ascii="Times New Roman" w:hAnsi="Times New Roman"/>
                <w:spacing w:val="-6"/>
                <w:szCs w:val="22"/>
              </w:rPr>
              <w:t xml:space="preserve">от 03.11.2015 № 202 </w:t>
            </w:r>
            <w:r w:rsidRPr="00B51ADF">
              <w:rPr>
                <w:rStyle w:val="20"/>
                <w:bCs/>
                <w:sz w:val="22"/>
                <w:szCs w:val="22"/>
              </w:rPr>
              <w:t>«О методике и порядке планирования бюджетных ассигнований местного бюджета»</w:t>
            </w:r>
          </w:p>
        </w:tc>
        <w:tc>
          <w:tcPr>
            <w:tcW w:w="801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74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 октября 2025 г.</w:t>
            </w:r>
          </w:p>
          <w:p w:rsidR="00B51ADF" w:rsidRPr="00B51ADF" w:rsidRDefault="00B51ADF" w:rsidP="00B51ADF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 октября 2025 г.</w:t>
            </w:r>
          </w:p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66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B51ADF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B51ADF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619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B51ADF">
        <w:trPr>
          <w:trHeight w:val="181"/>
        </w:trPr>
        <w:tc>
          <w:tcPr>
            <w:tcW w:w="71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2.1.3</w:t>
            </w:r>
          </w:p>
        </w:tc>
        <w:tc>
          <w:tcPr>
            <w:tcW w:w="1985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Контрольная точка 2.1.3.</w:t>
            </w:r>
          </w:p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Обеспечено ведение сводной бюджетной росписи в соответствии </w:t>
            </w:r>
            <w:r w:rsidRPr="00B51ADF">
              <w:rPr>
                <w:rFonts w:ascii="Times New Roman" w:hAnsi="Times New Roman"/>
                <w:szCs w:val="22"/>
              </w:rPr>
              <w:lastRenderedPageBreak/>
              <w:t>с требованиями бюджетного законодательства</w:t>
            </w:r>
          </w:p>
        </w:tc>
        <w:tc>
          <w:tcPr>
            <w:tcW w:w="801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4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74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31 декабря 2025 г.</w:t>
            </w:r>
          </w:p>
          <w:p w:rsidR="00B51ADF" w:rsidRPr="00B51ADF" w:rsidRDefault="00B51ADF" w:rsidP="00B51ADF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31 декабря 2025 г.</w:t>
            </w:r>
          </w:p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66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B51ADF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B51ADF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619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B51ADF">
        <w:trPr>
          <w:trHeight w:val="181"/>
        </w:trPr>
        <w:tc>
          <w:tcPr>
            <w:tcW w:w="15823" w:type="dxa"/>
            <w:gridSpan w:val="15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2. Задача комплекса процессных мероприятий «Обеспечено достижение и поддержание эффективной автоматизации процессов планирования и исполнения местного бюджета Вербовологовского сельского поселения за счет использования современных информационных технологий, единого информационного пространства и унифицированного программного обеспечения участниками бюджетного процесса, муниципальным бюджетным учреждением Вербовологовского сельского поселения»</w:t>
            </w:r>
          </w:p>
        </w:tc>
      </w:tr>
      <w:tr w:rsidR="00B51ADF" w:rsidRPr="00B51ADF" w:rsidTr="00B51ADF">
        <w:trPr>
          <w:trHeight w:val="181"/>
        </w:trPr>
        <w:tc>
          <w:tcPr>
            <w:tcW w:w="71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2.2.</w:t>
            </w:r>
          </w:p>
        </w:tc>
        <w:tc>
          <w:tcPr>
            <w:tcW w:w="1985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Мероприятие (результат) 2.2</w:t>
            </w:r>
          </w:p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«Обеспечено </w:t>
            </w:r>
          </w:p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эффективное использование информационной системы «Единая автоматизированная система управления общественными финансами в Ростовской области»</w:t>
            </w:r>
          </w:p>
        </w:tc>
        <w:tc>
          <w:tcPr>
            <w:tcW w:w="801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единица</w:t>
            </w:r>
          </w:p>
        </w:tc>
        <w:tc>
          <w:tcPr>
            <w:tcW w:w="104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74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6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B51ADF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B51ADF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619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B51ADF">
        <w:trPr>
          <w:trHeight w:val="181"/>
        </w:trPr>
        <w:tc>
          <w:tcPr>
            <w:tcW w:w="71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2.2.1</w:t>
            </w:r>
          </w:p>
        </w:tc>
        <w:tc>
          <w:tcPr>
            <w:tcW w:w="1985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Контрольная точка 2.2.1. </w:t>
            </w:r>
          </w:p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Осуществлено планирование и исполнение местного бюджета с использованием информационной системы «Единая автоматизированная система управления обще</w:t>
            </w:r>
            <w:r w:rsidRPr="00B51ADF">
              <w:rPr>
                <w:rFonts w:ascii="Times New Roman" w:hAnsi="Times New Roman"/>
                <w:szCs w:val="22"/>
              </w:rPr>
              <w:lastRenderedPageBreak/>
              <w:t xml:space="preserve">ственными финансами в Ростовской области» </w:t>
            </w:r>
          </w:p>
        </w:tc>
        <w:tc>
          <w:tcPr>
            <w:tcW w:w="801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4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74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31 декабря 2025 г.</w:t>
            </w:r>
          </w:p>
          <w:p w:rsidR="00B51ADF" w:rsidRPr="00B51ADF" w:rsidRDefault="00B51ADF" w:rsidP="00B51ADF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31 декабря 2025 г.</w:t>
            </w:r>
          </w:p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66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B51ADF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B51ADF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619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B51ADF">
        <w:trPr>
          <w:trHeight w:val="181"/>
        </w:trPr>
        <w:tc>
          <w:tcPr>
            <w:tcW w:w="15823" w:type="dxa"/>
            <w:gridSpan w:val="15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3. Задача комплекса процессных мероприятий «Обеспечено содействие сбалансированности местного бюджета и использование мер стимулирующего характера, направленных на повышение качества управления муниципальными финансами»</w:t>
            </w:r>
          </w:p>
        </w:tc>
      </w:tr>
      <w:tr w:rsidR="00B51ADF" w:rsidRPr="00B51ADF" w:rsidTr="00B51ADF">
        <w:trPr>
          <w:trHeight w:val="181"/>
        </w:trPr>
        <w:tc>
          <w:tcPr>
            <w:tcW w:w="71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2.3</w:t>
            </w:r>
          </w:p>
        </w:tc>
        <w:tc>
          <w:tcPr>
            <w:tcW w:w="1985" w:type="dxa"/>
          </w:tcPr>
          <w:p w:rsidR="00B51ADF" w:rsidRPr="00B51ADF" w:rsidRDefault="00B51ADF" w:rsidP="00B51ADF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Мероприятие (результат) 2.3</w:t>
            </w:r>
          </w:p>
          <w:p w:rsidR="00B51ADF" w:rsidRPr="00B51ADF" w:rsidRDefault="00B51ADF" w:rsidP="00B51ADF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 «Созданы условия, направленные </w:t>
            </w:r>
          </w:p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на обеспечение сбалансированности местного бюджета»</w:t>
            </w:r>
          </w:p>
        </w:tc>
        <w:tc>
          <w:tcPr>
            <w:tcW w:w="801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единица</w:t>
            </w:r>
          </w:p>
        </w:tc>
        <w:tc>
          <w:tcPr>
            <w:tcW w:w="104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74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6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/>
                <w:szCs w:val="22"/>
              </w:rPr>
              <w:t>Домникова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У.А.</w:t>
            </w:r>
          </w:p>
        </w:tc>
        <w:tc>
          <w:tcPr>
            <w:tcW w:w="99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619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B51ADF">
        <w:trPr>
          <w:trHeight w:val="181"/>
        </w:trPr>
        <w:tc>
          <w:tcPr>
            <w:tcW w:w="71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2.3.1</w:t>
            </w:r>
          </w:p>
        </w:tc>
        <w:tc>
          <w:tcPr>
            <w:tcW w:w="1985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Контрольная точка 2.3.1.</w:t>
            </w:r>
          </w:p>
          <w:p w:rsidR="00B51ADF" w:rsidRPr="00B51ADF" w:rsidRDefault="00B51ADF" w:rsidP="00B51ADF">
            <w:pPr>
              <w:widowControl w:val="0"/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Заключены соглашения с Министерством финансов Ростовской области, которые предусматривают меры по социально-экономическому развитию и оздоровлению муниципальных финансов Вербовологовского сельского поселения</w:t>
            </w:r>
          </w:p>
        </w:tc>
        <w:tc>
          <w:tcPr>
            <w:tcW w:w="801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74" w:type="dxa"/>
          </w:tcPr>
          <w:p w:rsidR="00B51ADF" w:rsidRPr="00B51ADF" w:rsidRDefault="00B51ADF" w:rsidP="00B51ADF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29 декабря 2025 г.</w:t>
            </w:r>
          </w:p>
          <w:p w:rsidR="00B51ADF" w:rsidRPr="00B51ADF" w:rsidRDefault="00B51ADF" w:rsidP="00B51ADF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27 декабря 2024 г</w:t>
            </w:r>
          </w:p>
        </w:tc>
        <w:tc>
          <w:tcPr>
            <w:tcW w:w="1266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/>
                <w:szCs w:val="22"/>
              </w:rPr>
              <w:t>Домникова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У.А.</w:t>
            </w:r>
          </w:p>
        </w:tc>
        <w:tc>
          <w:tcPr>
            <w:tcW w:w="993" w:type="dxa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619" w:type="dxa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46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8"/>
        <w:gridCol w:w="1283"/>
        <w:gridCol w:w="981"/>
        <w:gridCol w:w="1096"/>
        <w:gridCol w:w="1167"/>
        <w:gridCol w:w="1088"/>
        <w:gridCol w:w="1711"/>
        <w:gridCol w:w="994"/>
      </w:tblGrid>
      <w:tr w:rsidR="00B51ADF" w:rsidRPr="00B51ADF" w:rsidTr="00216607">
        <w:trPr>
          <w:trHeight w:val="411"/>
          <w:jc w:val="center"/>
        </w:trPr>
        <w:tc>
          <w:tcPr>
            <w:tcW w:w="6358" w:type="dxa"/>
            <w:vMerge w:val="restart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bookmarkStart w:id="0" w:name="_GoBack"/>
            <w:r w:rsidRPr="00B51ADF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B51ADF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B51ADF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B51ADF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B51ADF">
              <w:rPr>
                <w:rFonts w:ascii="Times New Roman" w:hAnsi="Times New Roman"/>
                <w:szCs w:val="22"/>
              </w:rPr>
              <w:t>(3)*100</w:t>
            </w:r>
            <w:r w:rsidRPr="00B51ADF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994" w:type="dxa"/>
            <w:vMerge w:val="restart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B51ADF" w:rsidRPr="00B51ADF" w:rsidTr="00216607">
        <w:trPr>
          <w:trHeight w:val="603"/>
          <w:jc w:val="center"/>
        </w:trPr>
        <w:tc>
          <w:tcPr>
            <w:tcW w:w="6358" w:type="dxa"/>
            <w:vMerge/>
            <w:vAlign w:val="center"/>
          </w:tcPr>
          <w:p w:rsidR="00B51ADF" w:rsidRPr="00B51ADF" w:rsidRDefault="00B51ADF" w:rsidP="00B51ADF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B51ADF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vAlign w:val="center"/>
          </w:tcPr>
          <w:p w:rsidR="00B51ADF" w:rsidRPr="00B51ADF" w:rsidRDefault="00B51ADF" w:rsidP="00B51AD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B51ADF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B51ADF" w:rsidRPr="00B51ADF" w:rsidRDefault="00B51ADF" w:rsidP="00B51ADF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vMerge/>
            <w:vAlign w:val="center"/>
          </w:tcPr>
          <w:p w:rsidR="00B51ADF" w:rsidRPr="00B51ADF" w:rsidRDefault="00B51ADF" w:rsidP="00B51ADF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B51ADF" w:rsidRPr="00B51ADF" w:rsidTr="00216607">
        <w:trPr>
          <w:trHeight w:val="218"/>
          <w:jc w:val="center"/>
        </w:trPr>
        <w:tc>
          <w:tcPr>
            <w:tcW w:w="6358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83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11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vAlign w:val="center"/>
          </w:tcPr>
          <w:p w:rsidR="00B51ADF" w:rsidRPr="00B51ADF" w:rsidRDefault="00B51ADF" w:rsidP="00B51AD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B51ADF" w:rsidRPr="00B51ADF" w:rsidTr="00216607">
        <w:trPr>
          <w:trHeight w:val="262"/>
          <w:jc w:val="center"/>
        </w:trPr>
        <w:tc>
          <w:tcPr>
            <w:tcW w:w="6358" w:type="dxa"/>
          </w:tcPr>
          <w:p w:rsidR="00B51ADF" w:rsidRPr="00B51ADF" w:rsidRDefault="00B51ADF" w:rsidP="00B51ADF">
            <w:pPr>
              <w:widowControl w:val="0"/>
              <w:spacing w:after="0"/>
              <w:outlineLvl w:val="2"/>
              <w:rPr>
                <w:rFonts w:ascii="Times New Roman" w:hAnsi="Times New Roman"/>
                <w:i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Комплекс процессных мероприятий</w:t>
            </w:r>
            <w:r w:rsidRPr="00B51ADF">
              <w:rPr>
                <w:rFonts w:ascii="Times New Roman" w:hAnsi="Times New Roman"/>
                <w:i/>
                <w:szCs w:val="22"/>
              </w:rPr>
              <w:t xml:space="preserve"> </w:t>
            </w:r>
            <w:r w:rsidRPr="00B51ADF">
              <w:rPr>
                <w:rFonts w:ascii="Times New Roman" w:hAnsi="Times New Roman"/>
                <w:szCs w:val="22"/>
              </w:rPr>
              <w:t xml:space="preserve">«Информационное обеспечение </w:t>
            </w:r>
          </w:p>
          <w:p w:rsidR="00B51ADF" w:rsidRPr="00B51ADF" w:rsidRDefault="00B51ADF" w:rsidP="00B51ADF">
            <w:pPr>
              <w:widowControl w:val="0"/>
              <w:spacing w:after="0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и организация бюджетного процесса</w:t>
            </w:r>
            <w:r w:rsidRPr="00B51ADF">
              <w:rPr>
                <w:rFonts w:ascii="Times New Roman" w:hAnsi="Times New Roman"/>
                <w:i/>
                <w:szCs w:val="22"/>
              </w:rPr>
              <w:t xml:space="preserve">» </w:t>
            </w:r>
            <w:r w:rsidRPr="00B51ADF">
              <w:rPr>
                <w:rFonts w:ascii="Times New Roman" w:hAnsi="Times New Roman"/>
                <w:szCs w:val="22"/>
              </w:rPr>
              <w:t>(всего), в том числе:</w:t>
            </w:r>
          </w:p>
        </w:tc>
        <w:tc>
          <w:tcPr>
            <w:tcW w:w="1283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B51ADF" w:rsidRPr="00B51ADF" w:rsidRDefault="00B51ADF" w:rsidP="00B51ADF">
            <w:pPr>
              <w:spacing w:after="0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216607">
        <w:trPr>
          <w:trHeight w:val="262"/>
          <w:jc w:val="center"/>
        </w:trPr>
        <w:tc>
          <w:tcPr>
            <w:tcW w:w="6358" w:type="dxa"/>
          </w:tcPr>
          <w:p w:rsidR="00B51ADF" w:rsidRPr="00B51ADF" w:rsidRDefault="00B51ADF" w:rsidP="00B51ADF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283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21660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ADF" w:rsidRPr="00B51ADF" w:rsidRDefault="00B51ADF" w:rsidP="00B51ADF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Мероприятие (результат) 2.1</w:t>
            </w:r>
          </w:p>
          <w:p w:rsidR="00B51ADF" w:rsidRPr="00B51ADF" w:rsidRDefault="00B51ADF" w:rsidP="00B51ADF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«Организовано планирование </w:t>
            </w:r>
          </w:p>
          <w:p w:rsidR="00B51ADF" w:rsidRPr="00B51ADF" w:rsidRDefault="00B51ADF" w:rsidP="00B51ADF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и исполнение расходов местного бюджета» (всего), в том числе:</w:t>
            </w:r>
          </w:p>
        </w:tc>
        <w:tc>
          <w:tcPr>
            <w:tcW w:w="1283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21660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ADF" w:rsidRPr="00B51ADF" w:rsidRDefault="00B51ADF" w:rsidP="00B51ADF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283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21660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ADF" w:rsidRPr="00B51ADF" w:rsidRDefault="00B51ADF" w:rsidP="00B51ADF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Мероприятие (результат) 2.2</w:t>
            </w:r>
          </w:p>
          <w:p w:rsidR="00B51ADF" w:rsidRPr="00B51ADF" w:rsidRDefault="00B51ADF" w:rsidP="00B51ADF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«Обеспечено Эффективное использование информационной системы «Единая автоматизированная система управления общественными финансами в Ростовской области» (ЕАС УОФ) (всего), в том числе:</w:t>
            </w:r>
          </w:p>
        </w:tc>
        <w:tc>
          <w:tcPr>
            <w:tcW w:w="1283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21660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ADF" w:rsidRPr="00B51ADF" w:rsidRDefault="00B51ADF" w:rsidP="00B51ADF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283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21660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ADF" w:rsidRPr="00B51ADF" w:rsidRDefault="00B51ADF" w:rsidP="00B51ADF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Мероприятие (результат) 2.3 «Созданы условия, направленные </w:t>
            </w:r>
          </w:p>
          <w:p w:rsidR="00B51ADF" w:rsidRPr="00B51ADF" w:rsidRDefault="00B51ADF" w:rsidP="00B51ADF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на обеспечение сбалансированности местного бюджета» (всего), </w:t>
            </w:r>
            <w:r w:rsidRPr="00B51ADF">
              <w:rPr>
                <w:rFonts w:ascii="Times New Roman" w:hAnsi="Times New Roman"/>
                <w:szCs w:val="22"/>
              </w:rPr>
              <w:lastRenderedPageBreak/>
              <w:t>в том числе:</w:t>
            </w:r>
          </w:p>
        </w:tc>
        <w:tc>
          <w:tcPr>
            <w:tcW w:w="1283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lastRenderedPageBreak/>
              <w:t>0,0</w:t>
            </w:r>
          </w:p>
        </w:tc>
        <w:tc>
          <w:tcPr>
            <w:tcW w:w="98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51ADF" w:rsidRPr="00B51ADF" w:rsidTr="0021660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ADF" w:rsidRPr="00B51ADF" w:rsidRDefault="00B51ADF" w:rsidP="00B51ADF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283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B51ADF" w:rsidRPr="00B51ADF" w:rsidRDefault="00B51ADF" w:rsidP="00B51AD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51ADF">
              <w:rPr>
                <w:rFonts w:ascii="Times New Roman" w:hAnsi="Times New Roman"/>
                <w:szCs w:val="22"/>
              </w:rPr>
              <w:t>-</w:t>
            </w:r>
          </w:p>
        </w:tc>
      </w:tr>
      <w:bookmarkEnd w:id="0"/>
    </w:tbl>
    <w:p w:rsidR="00F2449A" w:rsidRDefault="00F2449A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35E6C" w:rsidRDefault="00435E6C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35E6C" w:rsidRDefault="00435E6C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975D77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5E1" w:rsidRDefault="008465E1" w:rsidP="005C5C19">
      <w:pPr>
        <w:spacing w:after="0" w:line="240" w:lineRule="auto"/>
      </w:pPr>
      <w:r>
        <w:separator/>
      </w:r>
    </w:p>
  </w:endnote>
  <w:endnote w:type="continuationSeparator" w:id="0">
    <w:p w:rsidR="008465E1" w:rsidRDefault="008465E1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5E1" w:rsidRDefault="008465E1" w:rsidP="005C5C19">
      <w:pPr>
        <w:spacing w:after="0" w:line="240" w:lineRule="auto"/>
      </w:pPr>
      <w:r>
        <w:separator/>
      </w:r>
    </w:p>
  </w:footnote>
  <w:footnote w:type="continuationSeparator" w:id="0">
    <w:p w:rsidR="008465E1" w:rsidRDefault="008465E1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B51ADF" w:rsidRPr="00AC56B9" w:rsidRDefault="00B51ADF" w:rsidP="00B51ADF">
      <w:pPr>
        <w:pStyle w:val="Footnote"/>
        <w:spacing w:after="0"/>
      </w:pPr>
    </w:p>
  </w:footnote>
  <w:footnote w:id="4">
    <w:p w:rsidR="00B51ADF" w:rsidRPr="00AC56B9" w:rsidRDefault="00B51ADF" w:rsidP="00B51ADF"/>
  </w:footnote>
  <w:footnote w:id="5">
    <w:p w:rsidR="00B51ADF" w:rsidRPr="00E97C47" w:rsidRDefault="00B51ADF" w:rsidP="00B51ADF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24A9D"/>
    <w:multiLevelType w:val="hybridMultilevel"/>
    <w:tmpl w:val="B07E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764F6"/>
    <w:multiLevelType w:val="hybridMultilevel"/>
    <w:tmpl w:val="3630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0F3173"/>
    <w:rsid w:val="0011265F"/>
    <w:rsid w:val="001508F5"/>
    <w:rsid w:val="00364EC3"/>
    <w:rsid w:val="004010CB"/>
    <w:rsid w:val="00435E6C"/>
    <w:rsid w:val="00460B08"/>
    <w:rsid w:val="005526D9"/>
    <w:rsid w:val="005B374C"/>
    <w:rsid w:val="005C5C19"/>
    <w:rsid w:val="006433B0"/>
    <w:rsid w:val="00644BC3"/>
    <w:rsid w:val="00665041"/>
    <w:rsid w:val="006A5583"/>
    <w:rsid w:val="006C35DE"/>
    <w:rsid w:val="007345EF"/>
    <w:rsid w:val="00815114"/>
    <w:rsid w:val="008465E1"/>
    <w:rsid w:val="008B4FA3"/>
    <w:rsid w:val="00975D77"/>
    <w:rsid w:val="009B1A3C"/>
    <w:rsid w:val="00A10E39"/>
    <w:rsid w:val="00A27BEB"/>
    <w:rsid w:val="00B51ADF"/>
    <w:rsid w:val="00C0765A"/>
    <w:rsid w:val="00C1345B"/>
    <w:rsid w:val="00C67569"/>
    <w:rsid w:val="00CE478A"/>
    <w:rsid w:val="00E05354"/>
    <w:rsid w:val="00E27310"/>
    <w:rsid w:val="00F01B89"/>
    <w:rsid w:val="00F070D9"/>
    <w:rsid w:val="00F2449A"/>
    <w:rsid w:val="00F353A9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character" w:customStyle="1" w:styleId="1">
    <w:name w:val="Обычный1"/>
    <w:rsid w:val="000F3173"/>
    <w:rPr>
      <w:sz w:val="22"/>
    </w:rPr>
  </w:style>
  <w:style w:type="character" w:customStyle="1" w:styleId="20">
    <w:name w:val="Основной текст Знак2"/>
    <w:uiPriority w:val="99"/>
    <w:semiHidden/>
    <w:rsid w:val="00B51ADF"/>
    <w:rPr>
      <w:rFonts w:ascii="Times New Roman" w:eastAsia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EF8EA-01E8-4FD2-98FE-32A0BB123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20</cp:revision>
  <dcterms:created xsi:type="dcterms:W3CDTF">2026-01-02T16:09:00Z</dcterms:created>
  <dcterms:modified xsi:type="dcterms:W3CDTF">2026-02-12T20:45:00Z</dcterms:modified>
</cp:coreProperties>
</file>